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after="0" w:lineRule="auto"/>
        <w:rPr>
          <w:color w:val="000000"/>
          <w:sz w:val="22"/>
          <w:szCs w:val="22"/>
        </w:rPr>
      </w:pPr>
      <w:r w:rsidDel="00000000" w:rsidR="00000000" w:rsidRPr="00000000">
        <w:rPr>
          <w:color w:val="000000"/>
          <w:sz w:val="22"/>
          <w:szCs w:val="22"/>
          <w:rtl w:val="0"/>
        </w:rPr>
        <w:t xml:space="preserve">ROSAC0151ZPB</w:t>
      </w:r>
    </w:p>
    <w:p w:rsidR="00000000" w:rsidDel="00000000" w:rsidP="00000000" w:rsidRDefault="00000000" w:rsidRPr="00000000" w14:paraId="00000007">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8">
      <w:pPr>
        <w:spacing w:after="0" w:lineRule="auto"/>
        <w:rPr>
          <w:i w:val="1"/>
          <w:iCs w:val="1"/>
        </w:rPr>
      </w:pP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Pădurea Gârboavele</w:t>
      </w:r>
    </w:p>
    <w:p w:rsidR="00000000" w:rsidDel="00000000" w:rsidP="00000000" w:rsidRDefault="00000000" w:rsidRPr="00000000" w14:paraId="0000000B">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D">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10">
      <w:pPr>
        <w:spacing w:after="0" w:lineRule="auto"/>
        <w:rPr/>
      </w:pP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8">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pBdr>
          <w:top w:color="000000" w:space="0" w:sz="6" w:val="single"/>
          <w:left w:color="000000" w:space="0" w:sz="6" w:val="single"/>
          <w:bottom w:color="000000" w:space="0" w:sz="6" w:val="single"/>
          <w:right w:color="000000" w:space="0" w:sz="6" w:val="single"/>
          <w:between w:space="0" w:sz="0" w:val="nil"/>
        </w:pBdr>
        <w:rPr>
          <w:color w:val="000000"/>
          <w:sz w:val="24"/>
          <w:szCs w:val="24"/>
        </w:rPr>
      </w:pPr>
      <w:r w:rsidDel="00000000" w:rsidR="00000000" w:rsidRPr="00000000">
        <w:rPr>
          <w:sz w:val="22"/>
          <w:szCs w:val="22"/>
          <w:rtl w:val="0"/>
        </w:rPr>
        <w:t xml:space="preserve">258,42</w:t>
      </w:r>
      <w:r w:rsidDel="00000000" w:rsidR="00000000" w:rsidRPr="00000000">
        <w:rPr>
          <w:rtl w:val="0"/>
        </w:rPr>
      </w:r>
    </w:p>
    <w:p w:rsidR="00000000" w:rsidDel="00000000" w:rsidP="00000000" w:rsidRDefault="00000000" w:rsidRPr="00000000" w14:paraId="0000004A">
      <w:pPr>
        <w:rPr>
          <w:b w:val="1"/>
          <w:bCs w:val="1"/>
          <w:sz w:val="22"/>
          <w:szCs w:val="22"/>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sz w:val="22"/>
          <w:szCs w:val="22"/>
          <w:rtl w:val="0"/>
        </w:rPr>
        <w:t xml:space="preserve">117,55%</w:t>
      </w:r>
      <w:r w:rsidDel="00000000" w:rsidR="00000000" w:rsidRPr="00000000">
        <w:rPr>
          <w:rtl w:val="0"/>
        </w:rPr>
      </w:r>
    </w:p>
    <w:p w:rsidR="00000000" w:rsidDel="00000000" w:rsidP="00000000" w:rsidRDefault="00000000" w:rsidRPr="00000000" w14:paraId="0000004D">
      <w:pPr>
        <w:rPr>
          <w:b w:val="1"/>
          <w:bCs w:val="1"/>
          <w:sz w:val="22"/>
          <w:szCs w:val="22"/>
        </w:rPr>
      </w:pPr>
      <w:r w:rsidDel="00000000" w:rsidR="00000000" w:rsidRPr="00000000">
        <w:rPr>
          <w:rtl w:val="0"/>
        </w:rPr>
      </w:r>
    </w:p>
    <w:p w:rsidR="00000000" w:rsidDel="00000000" w:rsidP="00000000" w:rsidRDefault="00000000" w:rsidRPr="00000000" w14:paraId="0000004E">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F">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spacing w:after="0" w:lineRule="auto"/>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3">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spacing w:after="0" w:lineRule="auto"/>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5">
      <w:pPr>
        <w:spacing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6">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Galați</w:t>
      </w:r>
      <w:r w:rsidDel="00000000" w:rsidR="00000000" w:rsidRPr="00000000">
        <w:rPr>
          <w:rtl w:val="0"/>
        </w:rPr>
      </w:r>
    </w:p>
    <w:p w:rsidR="00000000" w:rsidDel="00000000" w:rsidP="00000000" w:rsidRDefault="00000000" w:rsidRPr="00000000" w14:paraId="00000057">
      <w:pPr>
        <w:rPr>
          <w:b w:val="1"/>
          <w:bCs w:val="1"/>
          <w:sz w:val="22"/>
          <w:szCs w:val="22"/>
        </w:rPr>
      </w:pPr>
      <w:r w:rsidDel="00000000" w:rsidR="00000000" w:rsidRPr="00000000">
        <w:rPr>
          <w:rtl w:val="0"/>
        </w:rPr>
      </w:r>
    </w:p>
    <w:p w:rsidR="00000000" w:rsidDel="00000000" w:rsidP="00000000" w:rsidRDefault="00000000" w:rsidRPr="00000000" w14:paraId="00000058">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9">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E">
            <w:pPr>
              <w:rPr/>
            </w:pPr>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p>
    <w:p w:rsidR="00000000" w:rsidDel="00000000" w:rsidP="00000000" w:rsidRDefault="00000000" w:rsidRPr="00000000" w14:paraId="00000066">
      <w:pPr>
        <w:jc w:val="center"/>
        <w:rPr/>
      </w:pP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1</w:t>
      </w:r>
      <w:r w:rsidDel="00000000" w:rsidR="00000000" w:rsidRPr="00000000">
        <w:rPr>
          <w:rtl w:val="0"/>
        </w:rPr>
      </w:r>
    </w:p>
    <w:p w:rsidR="00000000" w:rsidDel="00000000" w:rsidP="00000000" w:rsidRDefault="00000000" w:rsidRPr="00000000" w14:paraId="00000069">
      <w:pPr>
        <w:rPr>
          <w:b w:val="1"/>
          <w:bCs w:val="1"/>
          <w:sz w:val="22"/>
          <w:szCs w:val="22"/>
        </w:rPr>
      </w:pP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6E">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F">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sz w:val="22"/>
          <w:szCs w:val="22"/>
          <w:rtl w:val="0"/>
        </w:rPr>
        <w:t xml:space="preserve">258,42</w:t>
      </w: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f8aktqx9dlnu" w:id="0"/>
      <w:bookmarkEnd w:id="0"/>
      <w:r w:rsidDel="00000000" w:rsidR="00000000" w:rsidRPr="00000000">
        <w:rPr>
          <w:color w:val="000000"/>
          <w:sz w:val="22"/>
          <w:szCs w:val="22"/>
          <w:rtl w:val="0"/>
        </w:rPr>
        <w:t xml:space="preserve">- Hotărârea Consiliului Județean Galați nr. 46/1994;</w:t>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rezervația naturală RONPA0420 Pădurea Gârboavele;</w:t>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cu modificările și completările ulterioare;</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 Ordinul ministrului mediului, apelor și pădurilor nr. 923/2016 privind aprobarea Planului de management și a Regulamentului sitului Natura 2000 ROSCI0151 Pădurea Gârboavele și al ariei naturale protejate de interes național Pădurea Gârboavele, cod 2.403.</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7">
      <w:pPr>
        <w:spacing w:before="240" w:lineRule="auto"/>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jc w:val="both"/>
              <w:rPr>
                <w:b w:val="1"/>
                <w:bCs w:val="1"/>
                <w:sz w:val="22"/>
                <w:szCs w:val="22"/>
              </w:rPr>
            </w:pPr>
            <w:r w:rsidDel="00000000" w:rsidR="00000000" w:rsidRPr="00000000">
              <w:rPr>
                <w:b w:val="1"/>
                <w:bCs w:val="1"/>
                <w:i w:val="1"/>
                <w:iCs w:val="1"/>
                <w:sz w:val="22"/>
                <w:szCs w:val="22"/>
                <w:rtl w:val="0"/>
              </w:rPr>
              <w:t xml:space="preserve">Habitate de  tufărișuri și lande temperate:</w:t>
            </w:r>
            <w:r w:rsidDel="00000000" w:rsidR="00000000" w:rsidRPr="00000000">
              <w:rPr>
                <w:rtl w:val="0"/>
              </w:rPr>
            </w:r>
          </w:p>
          <w:p w:rsidR="00000000" w:rsidDel="00000000" w:rsidP="00000000" w:rsidRDefault="00000000" w:rsidRPr="00000000" w14:paraId="0000007C">
            <w:pPr>
              <w:spacing w:after="0" w:lineRule="auto"/>
              <w:jc w:val="both"/>
              <w:rPr>
                <w:sz w:val="22"/>
                <w:szCs w:val="22"/>
              </w:rPr>
            </w:pPr>
            <w:r w:rsidDel="00000000" w:rsidR="00000000" w:rsidRPr="00000000">
              <w:rPr>
                <w:i w:val="1"/>
                <w:iCs w:val="1"/>
                <w:sz w:val="22"/>
                <w:szCs w:val="22"/>
                <w:rtl w:val="0"/>
              </w:rPr>
              <w:t xml:space="preserve">40C0* Tufărișuri de foioase ponto-sarmatice</w:t>
            </w:r>
            <w:r w:rsidDel="00000000" w:rsidR="00000000" w:rsidRPr="00000000">
              <w:rPr>
                <w:rtl w:val="0"/>
              </w:rPr>
            </w:r>
          </w:p>
          <w:p w:rsidR="00000000" w:rsidDel="00000000" w:rsidP="00000000" w:rsidRDefault="00000000" w:rsidRPr="00000000" w14:paraId="0000007D">
            <w:pPr>
              <w:spacing w:after="0" w:lineRule="auto"/>
              <w:jc w:val="both"/>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7E">
            <w:pPr>
              <w:spacing w:after="0" w:lineRule="auto"/>
              <w:jc w:val="both"/>
              <w:rPr>
                <w:sz w:val="22"/>
                <w:szCs w:val="22"/>
              </w:rPr>
            </w:pPr>
            <w:r w:rsidDel="00000000" w:rsidR="00000000" w:rsidRPr="00000000">
              <w:rPr>
                <w:i w:val="1"/>
                <w:iCs w:val="1"/>
                <w:sz w:val="22"/>
                <w:szCs w:val="22"/>
                <w:rtl w:val="0"/>
              </w:rPr>
              <w:t xml:space="preserve">91AA* Vegetație forestieră ponto-sarmatică cu stejar pufos</w:t>
            </w:r>
            <w:r w:rsidDel="00000000" w:rsidR="00000000" w:rsidRPr="00000000">
              <w:rPr>
                <w:rtl w:val="0"/>
              </w:rPr>
            </w:r>
          </w:p>
          <w:p w:rsidR="00000000" w:rsidDel="00000000" w:rsidP="00000000" w:rsidRDefault="00000000" w:rsidRPr="00000000" w14:paraId="0000007F">
            <w:pPr>
              <w:spacing w:after="0" w:lineRule="auto"/>
              <w:jc w:val="both"/>
              <w:rPr>
                <w:sz w:val="22"/>
                <w:szCs w:val="22"/>
              </w:rPr>
            </w:pPr>
            <w:r w:rsidDel="00000000" w:rsidR="00000000" w:rsidRPr="00000000">
              <w:rPr>
                <w:i w:val="1"/>
                <w:iCs w:val="1"/>
                <w:sz w:val="22"/>
                <w:szCs w:val="22"/>
                <w:rtl w:val="0"/>
              </w:rPr>
              <w:t xml:space="preserve">91I0* Vegetație de silvostepă eurosiberiană cu Quercus spp.</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sz w:val="22"/>
                <w:szCs w:val="22"/>
              </w:rPr>
            </w:pPr>
            <w:r w:rsidDel="00000000" w:rsidR="00000000" w:rsidRPr="00000000">
              <w:rPr>
                <w:b w:val="1"/>
                <w:bCs w:val="1"/>
                <w:sz w:val="22"/>
                <w:szCs w:val="22"/>
                <w:rtl w:val="0"/>
              </w:rPr>
              <w:t xml:space="preserve">Amfibieni și reptile:</w:t>
            </w:r>
            <w:r w:rsidDel="00000000" w:rsidR="00000000" w:rsidRPr="00000000">
              <w:rPr>
                <w:rtl w:val="0"/>
              </w:rPr>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2361 Bufo bufo</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2469 Natrix natrix</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1197 Pelobates fuscus</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6976 Pelophylax esculentus</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8A">
            <w:pPr>
              <w:spacing w:after="0" w:lineRule="auto"/>
              <w:rPr>
                <w:sz w:val="22"/>
                <w:szCs w:val="22"/>
              </w:rPr>
            </w:pPr>
            <w:r w:rsidDel="00000000" w:rsidR="00000000" w:rsidRPr="00000000">
              <w:rPr>
                <w:b w:val="1"/>
                <w:bCs w:val="1"/>
                <w:sz w:val="22"/>
                <w:szCs w:val="22"/>
                <w:rtl w:val="0"/>
              </w:rPr>
              <w:t xml:space="preserve">Nevertebrate:</w:t>
            </w:r>
            <w:r w:rsidDel="00000000" w:rsidR="00000000" w:rsidRPr="00000000">
              <w:rPr>
                <w:rtl w:val="0"/>
              </w:rPr>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1066 Apatura metis</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4011 Bolbelasmus unicornis</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1060 Lycaena dispar</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6966* Osmoderma eremita Complex</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1056 Parnassius mnemosyne</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1053 Zerynthia polyxena</w:t>
            </w:r>
          </w:p>
          <w:p w:rsidR="00000000" w:rsidDel="00000000" w:rsidP="00000000" w:rsidRDefault="00000000" w:rsidRPr="00000000" w14:paraId="00000094">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4091 Crambe tataria</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4097 Iris aphylla subsp. hungarica</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6948 Pontechium maculatum subsp. maculatum</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2093 Pulsatilla grandis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spacing w:after="0" w:lineRule="auto"/>
              <w:jc w:val="both"/>
              <w:rPr/>
            </w:pPr>
            <w:r w:rsidDel="00000000" w:rsidR="00000000" w:rsidRPr="00000000">
              <w:rPr>
                <w:sz w:val="22"/>
                <w:szCs w:val="22"/>
                <w:rtl w:val="0"/>
              </w:rPr>
              <w:t xml:space="preserve">Zona are o valoare ecologică ridicată datorită prezenței habitatelor forestiere și de tufărișuri ponto-sarmatice de interes comunitar, precum 40C0*, 91AA* și 91I0*, caracterizate printr-o structură naturală bine conservată. Habitatele susțin numeroase specii protejate de amfibieni și reptile, nevertebrate, precum și specii floristice rare.</w:t>
            </w:r>
            <w:r w:rsidDel="00000000" w:rsidR="00000000" w:rsidRPr="00000000">
              <w:rPr>
                <w:rtl w:val="0"/>
              </w:rPr>
            </w:r>
          </w:p>
          <w:p w:rsidR="00000000" w:rsidDel="00000000" w:rsidP="00000000" w:rsidRDefault="00000000" w:rsidRPr="00000000" w14:paraId="0000009B">
            <w:pPr>
              <w:spacing w:after="0" w:line="240" w:lineRule="auto"/>
              <w:jc w:val="both"/>
              <w:rPr>
                <w:sz w:val="22"/>
                <w:szCs w:val="22"/>
              </w:rPr>
            </w:pPr>
            <w:r w:rsidDel="00000000" w:rsidR="00000000" w:rsidRPr="00000000">
              <w:rPr>
                <w:sz w:val="22"/>
                <w:szCs w:val="22"/>
                <w:rtl w:val="0"/>
              </w:rPr>
              <w:t xml:space="preserve">Pădurile contribuie la stocarea carbonului și la reglarea climatului local.</w:t>
            </w:r>
          </w:p>
          <w:p w:rsidR="00000000" w:rsidDel="00000000" w:rsidP="00000000" w:rsidRDefault="00000000" w:rsidRPr="00000000" w14:paraId="0000009C">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rezervațiile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spacing w:after="0" w:lineRule="auto"/>
              <w:rPr/>
            </w:pPr>
            <w:r w:rsidDel="00000000" w:rsidR="00000000" w:rsidRPr="00000000">
              <w:rPr>
                <w:sz w:val="22"/>
                <w:szCs w:val="22"/>
                <w:rtl w:val="0"/>
              </w:rPr>
              <w:t xml:space="preserve">Nu este cazul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în regim de management activ pentru habitatele forestiere altele decât T1</w:t>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 general de conservare</w:t>
            </w:r>
          </w:p>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Obiective specifice:</w:t>
            </w:r>
          </w:p>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Conservarea și ameliorarea biodiversității arboretelor (structură, compoziție, microhabitate).</w:t>
            </w:r>
          </w:p>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Menținerea regenerării naturale și a continuității habitatelor forestiere.</w:t>
            </w:r>
          </w:p>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Reducerea fragmentării habitatelor și limitarea presiunilor antropice.</w:t>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stării de conservare și aplicarea managementului adaptativ.</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de management activ pentru ecosistemele de tufărișuri</w:t>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 general de conservare</w:t>
            </w:r>
          </w:p>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p>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Menținerea zonelor de ecoton între tufărișuri și pajiști, esențiale pentru biodiversitate.</w:t>
            </w:r>
          </w:p>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Monitorizarea stării de conservare și adaptarea managementului.</w:t>
            </w:r>
          </w:p>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p>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spacing w:after="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D1">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Doniță, N., Popescu, A., Paucă–Comănescu M., Mihăilescu, S., Biriș, I.-A. (2005-2006). Habitatele din România, București: Editura Tehnică Silvică.</w:t>
      </w:r>
    </w:p>
    <w:p w:rsidR="00000000" w:rsidDel="00000000" w:rsidP="00000000" w:rsidRDefault="00000000" w:rsidRPr="00000000" w14:paraId="000000D2">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Gafta, D., Mountford, O. coord. (2008). Manual de interpretare a habitatelor Natura 2000 din România, Cluj-Napoca: Editura Risoprint.</w:t>
      </w:r>
    </w:p>
    <w:p w:rsidR="00000000" w:rsidDel="00000000" w:rsidP="00000000" w:rsidRDefault="00000000" w:rsidRPr="00000000" w14:paraId="000000D3">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Sanda, V., Ölleler, K., Burescu, P. (2008). Fitocenozele din România. Sintaxonomie, structură, dinamică și evoluție, București: Editura Ars Docendi. </w:t>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D7">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D8">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xqnuaa1knpxq" w:id="1"/>
      <w:bookmarkEnd w:id="1"/>
      <w:r w:rsidDel="00000000" w:rsidR="00000000" w:rsidRPr="00000000">
        <w:rPr>
          <w:color w:val="000000"/>
          <w:sz w:val="22"/>
          <w:szCs w:val="22"/>
          <w:rtl w:val="0"/>
        </w:rPr>
        <w:t xml:space="preserve">Consultările publice au fost realizate la: 11 martie 2025 – Galați, 19 mai 2025 – DS Galați.</w:t>
      </w:r>
    </w:p>
    <w:p w:rsidR="00000000" w:rsidDel="00000000" w:rsidP="00000000" w:rsidRDefault="00000000" w:rsidRPr="00000000" w14:paraId="000000D9">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sz w:val="22"/>
          <w:szCs w:val="22"/>
          <w:rtl w:val="0"/>
        </w:rPr>
        <w:t xml:space="preserve">Ulterior, în cadrul procesului de consultare extins la nivel național, a avut loc o consultare suplimentară online în data de</w:t>
      </w:r>
      <w:r w:rsidDel="00000000" w:rsidR="00000000" w:rsidRPr="00000000">
        <w:rPr>
          <w:rtl w:val="0"/>
        </w:rPr>
        <w:t xml:space="preserve"> </w:t>
      </w:r>
      <w:r w:rsidDel="00000000" w:rsidR="00000000" w:rsidRPr="00000000">
        <w:rPr>
          <w:b w:val="1"/>
          <w:bCs w:val="1"/>
          <w:sz w:val="22"/>
          <w:szCs w:val="22"/>
          <w:rtl w:val="0"/>
        </w:rPr>
        <w:t xml:space="preserve">08 decembrie 2025</w:t>
      </w:r>
      <w:r w:rsidDel="00000000" w:rsidR="00000000" w:rsidRPr="00000000">
        <w:rPr>
          <w:sz w:val="22"/>
          <w:szCs w:val="22"/>
          <w:rtl w:val="0"/>
        </w:rPr>
        <w:t xml:space="preserve"> cu participarea factorilor interesați relevanți din județul Galați.</w:t>
      </w:r>
      <w:r w:rsidDel="00000000" w:rsidR="00000000" w:rsidRPr="00000000">
        <w:rPr>
          <w:rtl w:val="0"/>
        </w:rPr>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DD">
      <w:pPr>
        <w:spacing w:line="24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0" w:line="240" w:lineRule="auto"/>
        <w:rPr>
          <w:color w:val="000000"/>
        </w:rPr>
      </w:pPr>
      <w:r w:rsidDel="00000000" w:rsidR="00000000" w:rsidRPr="00000000">
        <w:rPr>
          <w:color w:val="000000"/>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DF">
      <w:pPr>
        <w:jc w:val="both"/>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bWp4YWGZiz5Gm7fUWibrHX+FQ==">CgMxLjAyDmguZjhha3RxeDlkbG51Mg5oLnhxbnVhYTFrbnB4cTgAciExTzR5MHNwZWVUVHQyYy16bW5zSm9GSG1sOEZKU3Jrc2I=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